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FC5860" w:rsidRPr="00BE1BCD">
      <w:pPr>
        <w:spacing w:line="285" w:lineRule="auto"/>
        <w:jc w:val="center"/>
      </w:pPr>
      <w:r>
        <w:rPr>
          <w:rFonts w:ascii="宋体" w:eastAsia="宋体" w:hAnsi="宋体" w:cs="宋体"/>
          <w:b/>
          <w:color w:val="auto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10388600</wp:posOffset>
            </wp:positionV>
            <wp:extent cx="266700" cy="2794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color w:val="auto"/>
          <w:sz w:val="32"/>
        </w:rPr>
        <w:t>郑州市</w:t>
      </w:r>
      <w:r>
        <w:rPr>
          <w:rFonts w:ascii="Times New Roman" w:eastAsia="Times New Roman" w:hAnsi="Times New Roman" w:cs="Times New Roman"/>
          <w:b/>
          <w:color w:val="auto"/>
          <w:sz w:val="32"/>
        </w:rPr>
        <w:t>2025</w:t>
      </w:r>
      <w:r>
        <w:rPr>
          <w:rFonts w:ascii="宋体" w:eastAsia="宋体" w:hAnsi="宋体" w:cs="宋体"/>
          <w:b/>
          <w:color w:val="auto"/>
          <w:sz w:val="32"/>
        </w:rPr>
        <w:t>年高中毕业年级第二次质量预测</w:t>
      </w:r>
    </w:p>
    <w:p w:rsidR="00FC5860" w:rsidRPr="00BE1BCD">
      <w:pPr>
        <w:spacing w:line="285" w:lineRule="auto"/>
        <w:jc w:val="center"/>
      </w:pPr>
      <w:r>
        <w:rPr>
          <w:rFonts w:ascii="宋体" w:eastAsia="宋体" w:hAnsi="宋体" w:cs="宋体"/>
          <w:b/>
          <w:color w:val="auto"/>
          <w:sz w:val="32"/>
        </w:rPr>
        <w:t>历史试题卷</w:t>
      </w:r>
    </w:p>
    <w:p w:rsidR="00FC5860" w:rsidRPr="00BE1BCD">
      <w:pPr>
        <w:spacing w:line="285" w:lineRule="auto"/>
        <w:jc w:val="both"/>
      </w:pPr>
      <w:r>
        <w:rPr>
          <w:rFonts w:ascii="宋体" w:eastAsia="宋体" w:hAnsi="宋体" w:cs="宋体"/>
          <w:b/>
          <w:color w:val="auto"/>
          <w:sz w:val="24"/>
        </w:rPr>
        <w:t>本试卷分第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I</w:t>
      </w:r>
      <w:r>
        <w:rPr>
          <w:rFonts w:ascii="宋体" w:eastAsia="宋体" w:hAnsi="宋体" w:cs="宋体"/>
          <w:b/>
          <w:color w:val="auto"/>
          <w:sz w:val="24"/>
        </w:rPr>
        <w:t>卷（选择题）和第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II</w:t>
      </w:r>
      <w:r>
        <w:rPr>
          <w:rFonts w:ascii="宋体" w:eastAsia="宋体" w:hAnsi="宋体" w:cs="宋体"/>
          <w:b/>
          <w:color w:val="auto"/>
          <w:sz w:val="24"/>
        </w:rPr>
        <w:t>卷（非选择题）两部分。考试时间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75</w:t>
      </w:r>
      <w:r>
        <w:rPr>
          <w:rFonts w:ascii="宋体" w:eastAsia="宋体" w:hAnsi="宋体" w:cs="宋体"/>
          <w:b/>
          <w:color w:val="auto"/>
          <w:sz w:val="24"/>
        </w:rPr>
        <w:t>分钟，满分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100</w:t>
      </w:r>
      <w:r>
        <w:rPr>
          <w:rFonts w:ascii="宋体" w:eastAsia="宋体" w:hAnsi="宋体" w:cs="宋体"/>
          <w:b/>
          <w:color w:val="auto"/>
          <w:sz w:val="24"/>
        </w:rPr>
        <w:t>分。考生应首先阅读答题卡上的文字信息，然后在答题卡上作答，在试题卷上作答无效。交卷时只交答题卡。</w:t>
      </w:r>
    </w:p>
    <w:p w:rsidR="00FC5860" w:rsidRPr="00BE1BCD">
      <w:pPr>
        <w:spacing w:line="285" w:lineRule="auto"/>
        <w:jc w:val="center"/>
      </w:pPr>
      <w:r>
        <w:rPr>
          <w:rFonts w:ascii="宋体" w:eastAsia="宋体" w:hAnsi="宋体" w:cs="宋体"/>
          <w:b/>
          <w:color w:val="auto"/>
          <w:sz w:val="24"/>
        </w:rPr>
        <w:t>第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I</w:t>
      </w:r>
      <w:r>
        <w:rPr>
          <w:rFonts w:ascii="宋体" w:eastAsia="宋体" w:hAnsi="宋体" w:cs="宋体"/>
          <w:b/>
          <w:color w:val="auto"/>
          <w:sz w:val="24"/>
        </w:rPr>
        <w:t>卷（选择题）</w:t>
      </w:r>
    </w:p>
    <w:p w:rsidR="00FC5860" w:rsidRPr="00BE1BCD">
      <w:pPr>
        <w:spacing w:line="285" w:lineRule="auto"/>
        <w:jc w:val="both"/>
      </w:pPr>
      <w:r>
        <w:rPr>
          <w:rFonts w:ascii="宋体" w:eastAsia="宋体" w:hAnsi="宋体" w:cs="宋体"/>
          <w:b/>
          <w:color w:val="auto"/>
          <w:sz w:val="24"/>
        </w:rPr>
        <w:t>一、选择题：本大题共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16</w:t>
      </w:r>
      <w:r>
        <w:rPr>
          <w:rFonts w:ascii="宋体" w:eastAsia="宋体" w:hAnsi="宋体" w:cs="宋体"/>
          <w:b/>
          <w:color w:val="auto"/>
          <w:sz w:val="24"/>
        </w:rPr>
        <w:t>小题，每小题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3</w:t>
      </w:r>
      <w:r>
        <w:rPr>
          <w:rFonts w:ascii="宋体" w:eastAsia="宋体" w:hAnsi="宋体" w:cs="宋体"/>
          <w:b/>
          <w:color w:val="auto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48</w:t>
      </w:r>
      <w:r>
        <w:rPr>
          <w:rFonts w:ascii="宋体" w:eastAsia="宋体" w:hAnsi="宋体" w:cs="宋体"/>
          <w:b/>
          <w:color w:val="auto"/>
          <w:sz w:val="24"/>
        </w:rPr>
        <w:t>分。每小题只有一个选项最符合题意，请将正确答案填涂在答题卡上。</w:t>
      </w:r>
    </w:p>
    <w:p w:rsidR="00FC5860" w:rsidRPr="00BE1BC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eastAsia="宋体" w:hAnsi="宋体" w:cs="宋体"/>
          <w:color w:val="auto"/>
        </w:rPr>
        <w:t>考古学家发现，某史前遗址按照从低到高的顺序，形成了“地下窑洞—无基坑半地穴式单间—地面建筑单间—有基坑半地穴式套间—台基宫殿”的居住形式。据此推断，该遗址最有可能是（</w:t>
      </w:r>
      <w:r>
        <w:rPr>
          <w:rFonts w:ascii="Times New Roman" w:eastAsia="Times New Roman" w:hAnsi="Times New Roman" w:cs="Times New Roman"/>
          <w:color w:val="auto"/>
        </w:rPr>
        <w:t xml:space="preserve">   </w:t>
      </w:r>
      <w:r>
        <w:rPr>
          <w:rFonts w:ascii="宋体" w:eastAsia="宋体" w:hAnsi="宋体" w:cs="宋体"/>
          <w:color w:val="auto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 w:rsidR="00FC5860">
        <w:t xml:space="preserve">A. </w:t>
      </w:r>
      <w:r>
        <w:rPr>
          <w:rFonts w:ascii="宋体" w:eastAsia="宋体" w:hAnsi="宋体" w:cs="宋体"/>
          <w:color w:val="auto"/>
        </w:rPr>
        <w:t>河姆渡遗址</w:t>
      </w:r>
      <w:r w:rsidRPr="00BE1BCD" w:rsidR="00FC5860">
        <w:tab/>
      </w:r>
      <w:r w:rsidRPr="00BE1BCD" w:rsidR="00FC5860">
        <w:t xml:space="preserve">B. </w:t>
      </w:r>
      <w:r>
        <w:rPr>
          <w:rFonts w:ascii="宋体" w:eastAsia="宋体" w:hAnsi="宋体" w:cs="宋体"/>
          <w:color w:val="auto"/>
        </w:rPr>
        <w:t>二里头遗址</w:t>
      </w:r>
      <w:r w:rsidRPr="00BE1BCD" w:rsidR="00FC5860">
        <w:tab/>
      </w:r>
      <w:r w:rsidRPr="00BE1BCD" w:rsidR="00FC5860">
        <w:t xml:space="preserve">C. </w:t>
      </w:r>
      <w:r>
        <w:rPr>
          <w:rFonts w:ascii="宋体" w:eastAsia="宋体" w:hAnsi="宋体" w:cs="宋体"/>
          <w:color w:val="auto"/>
        </w:rPr>
        <w:t>姜寨遗址</w:t>
      </w:r>
      <w:r w:rsidRPr="00BE1BCD" w:rsidR="00FC5860">
        <w:tab/>
      </w:r>
      <w:r w:rsidRPr="00BE1BCD" w:rsidR="00FC5860">
        <w:t xml:space="preserve">D. </w:t>
      </w:r>
      <w:r>
        <w:rPr>
          <w:rFonts w:ascii="宋体" w:eastAsia="宋体" w:hAnsi="宋体" w:cs="宋体"/>
          <w:color w:val="auto"/>
        </w:rPr>
        <w:t>陶寺遗址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eastAsia="宋体" w:hAnsi="宋体" w:cs="宋体"/>
          <w:color w:val="000000"/>
        </w:rPr>
        <w:t>据《汉书》记载，西汉“世世徙吏二千石、高訾富人及豪杰并兼之家于诸陵”。西汉后期，汉元帝废止徙陵制度，“使天下咸安土乐业，亡（无）有动摇之心”。这一变化体现了（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商人地位的提高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中央集权的弱化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社会秩序的稳固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统治思想的变化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eastAsia="宋体" w:hAnsi="宋体" w:cs="宋体"/>
          <w:color w:val="000000"/>
        </w:rPr>
        <w:t>下表是唐朝安史之乱前后水利工程建设的地区分布情况（单位：个），这可用于说明，安史之乱后（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tbl>
      <w:tblPr>
        <w:tblStyle w:val="TableNormal"/>
        <w:tblW w:w="3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72"/>
        <w:gridCol w:w="1199"/>
        <w:gridCol w:w="1199"/>
      </w:tblGrid>
      <w:tr>
        <w:tblPrEx>
          <w:tblW w:w="369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地区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前期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后期</w:t>
            </w:r>
          </w:p>
        </w:tc>
      </w:tr>
      <w:tr>
        <w:tblPrEx>
          <w:tblW w:w="369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河南道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</w:tr>
      <w:tr>
        <w:tblPrEx>
          <w:tblW w:w="369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河东道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</w:tr>
      <w:tr>
        <w:tblPrEx>
          <w:tblW w:w="369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河北道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54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</w:tr>
      <w:tr>
        <w:tblPrEx>
          <w:tblW w:w="369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淮南道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13</w:t>
            </w:r>
          </w:p>
        </w:tc>
      </w:tr>
      <w:tr>
        <w:tblPrEx>
          <w:tblW w:w="369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江南道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49</w:t>
            </w:r>
          </w:p>
        </w:tc>
      </w:tr>
    </w:tbl>
    <w:p>
      <w:pPr>
        <w:spacing w:line="360" w:lineRule="auto"/>
        <w:jc w:val="both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户口分布南多北少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南方经济地位提高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江南藩镇独立性强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财政收入逐渐减少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eastAsia="宋体" w:hAnsi="宋体" w:cs="宋体"/>
          <w:color w:val="000000"/>
        </w:rPr>
        <w:t>下表为有关北宋早朝礼仪改革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三则史料，据此能够被认定的历史事实是（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tbl>
      <w:tblPr>
        <w:tblStyle w:val="TableNormal"/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622"/>
        <w:gridCol w:w="1108"/>
      </w:tblGrid>
      <w:tr>
        <w:tblPrEx>
          <w:tblW w:w="832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60"/>
        </w:trPr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记述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出处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735"/>
        </w:trPr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故事，执政奏事，坐论殿上。太祖皇帝即位之明日，执政登殿，上曰：“朕目昏，持文字近前。”执政至榻前，密遣中使彻（撤）其坐。执政立奏事，自此始也。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《闻见旧录》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735"/>
        </w:trPr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今执政，古三公之任，所谓坐而论道者也。今进对，立侍，裁移刻而罢，于咨诹体貌之礼固有未尽。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《文潞公集》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735"/>
        </w:trPr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先是，宰相见天子议大政事，必命坐面议之……及质等惮帝英睿，每事辄具札子进呈……由是奏御浸多，始废坐论之礼。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《宋史·范质传》</w:t>
            </w:r>
          </w:p>
        </w:tc>
      </w:tr>
    </w:tbl>
    <w:p>
      <w:pPr>
        <w:spacing w:line="360" w:lineRule="auto"/>
        <w:jc w:val="both"/>
        <w:textAlignment w:val="center"/>
        <w:rPr>
          <w:color w:val="000000"/>
        </w:rPr>
      </w:pP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宋太祖蓄意裁撤了早朝坐论之礼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政务繁忙导致早朝坐论之礼废除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北宋时期早朝坐论之礼不复存在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废止早朝坐论之礼降低行政效能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eastAsia="宋体" w:hAnsi="宋体" w:cs="宋体"/>
          <w:color w:val="000000"/>
        </w:rPr>
        <w:t>为了借助女真人建立金朝、南下灭宋的威名，努尔哈赤设立国号“大金”。皇太极继位后，公开否认本国与金朝有直接联系，并改国号为“大清”，改女真族名为“满族”，改元“崇德”。皇太极的做法有利于（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建立统一多民族国家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完善南北面官制度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缓和与明王朝的关系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强化满族身份认同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eastAsia="Times New Roman" w:hAnsi="Times New Roman" w:cs="Times New Roman"/>
          <w:color w:val="000000"/>
        </w:rPr>
        <w:t>1873</w:t>
      </w:r>
      <w:r>
        <w:rPr>
          <w:rFonts w:ascii="宋体" w:eastAsia="宋体" w:hAnsi="宋体" w:cs="宋体"/>
          <w:color w:val="000000"/>
        </w:rPr>
        <w:t>年，轮船招商局建立后，曾经互相视为敌手的旗昌、太古、怡和等外商洋行，化干戈为玉帛，并声言：在江、海航线上，“见他公司有船同日并走者，必与之争拒”。这说明（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政府允许民间设厂促进航运业发展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中国航运业的半殖民地化加深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经济利益推动列强与清廷走向合作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近代化实践冲击列强在华利益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eastAsia="Times New Roman" w:hAnsi="Times New Roman" w:cs="Times New Roman"/>
          <w:color w:val="000000"/>
        </w:rPr>
        <w:t>1921</w:t>
      </w:r>
      <w:r>
        <w:rPr>
          <w:rFonts w:ascii="宋体" w:eastAsia="宋体" w:hAnsi="宋体" w:cs="宋体"/>
          <w:color w:val="000000"/>
        </w:rPr>
        <w:t>年初，赵子健在郑州铁路职工学校，向工人介绍俄国十月革命后的情况。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月，李大钊到郑州视察时，他鼓励工人团结起来，争当社会的主人。这表明当时（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中国共产党注重工人教育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马克思主义影响日益增强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中国革命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性质发生变化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社会主义革命的条件成熟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eastAsia="Times New Roman" w:hAnsi="Times New Roman" w:cs="Times New Roman"/>
          <w:color w:val="000000"/>
        </w:rPr>
        <w:t>1933</w:t>
      </w:r>
      <w:r>
        <w:rPr>
          <w:rFonts w:ascii="宋体" w:eastAsia="宋体" w:hAnsi="宋体" w:cs="宋体"/>
          <w:color w:val="000000"/>
        </w:rPr>
        <w:t>年，苏区军民掀起了购买政府经济建设公债的热潮。福建红坊区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eastAsia="宋体" w:hAnsi="宋体" w:cs="宋体"/>
          <w:color w:val="000000"/>
        </w:rPr>
        <w:t>天之内推销公债</w:t>
      </w:r>
      <w:r>
        <w:rPr>
          <w:rFonts w:ascii="Times New Roman" w:eastAsia="Times New Roman" w:hAnsi="Times New Roman" w:cs="Times New Roman"/>
          <w:color w:val="000000"/>
        </w:rPr>
        <w:t>10000</w:t>
      </w:r>
      <w:r>
        <w:rPr>
          <w:rFonts w:ascii="宋体" w:eastAsia="宋体" w:hAnsi="宋体" w:cs="宋体"/>
          <w:color w:val="000000"/>
        </w:rPr>
        <w:t>元；在胜利县，一个贫农自愿买</w:t>
      </w:r>
      <w:r>
        <w:rPr>
          <w:rFonts w:ascii="Times New Roman" w:eastAsia="Times New Roman" w:hAnsi="Times New Roman" w:cs="Times New Roman"/>
          <w:color w:val="000000"/>
        </w:rPr>
        <w:t>28</w:t>
      </w:r>
      <w:r>
        <w:rPr>
          <w:rFonts w:ascii="宋体" w:eastAsia="宋体" w:hAnsi="宋体" w:cs="宋体"/>
          <w:color w:val="000000"/>
        </w:rPr>
        <w:t>元公债，一个中农自愿买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ascii="宋体" w:eastAsia="宋体" w:hAnsi="宋体" w:cs="宋体"/>
          <w:color w:val="000000"/>
        </w:rPr>
        <w:t>元公债。这一举措（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冲破了国民党的经济封锁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反映了主要矛盾的转移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践行了工农武装割据理论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打开了中国革命新局面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eastAsia="宋体" w:hAnsi="宋体" w:cs="宋体"/>
          <w:color w:val="000000"/>
        </w:rPr>
        <w:t>下图为</w:t>
      </w:r>
      <w:r>
        <w:rPr>
          <w:rFonts w:ascii="Times New Roman" w:eastAsia="Times New Roman" w:hAnsi="Times New Roman" w:cs="Times New Roman"/>
          <w:color w:val="000000"/>
        </w:rPr>
        <w:t>1964</w:t>
      </w:r>
      <w:r>
        <w:rPr>
          <w:rFonts w:ascii="宋体" w:eastAsia="宋体" w:hAnsi="宋体" w:cs="宋体"/>
          <w:color w:val="000000"/>
        </w:rPr>
        <w:t>年拍摄的动画片《半夜鸡叫》的剧照，该片讲述了旧社会地主周扒皮在半夜学鸡叫，迫使长工们早起干活的故事。该动画片体现出当时的艺术创作（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828800" cy="2324100"/>
            <wp:docPr id="10000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适应了土地革命需要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配合了意识形态宣传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创新了文化传播形式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批判了封建伦理思想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eastAsia="Times New Roman" w:hAnsi="Times New Roman" w:cs="Times New Roman"/>
          <w:color w:val="000000"/>
        </w:rPr>
        <w:t>1978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11</w:t>
      </w:r>
      <w:r>
        <w:rPr>
          <w:rFonts w:ascii="宋体" w:eastAsia="宋体" w:hAnsi="宋体" w:cs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eastAsia="宋体" w:hAnsi="宋体" w:cs="宋体"/>
          <w:color w:val="000000"/>
        </w:rPr>
        <w:t>日，邓小平在中央工作会议上指出，要学会用经济的方法管理经济，要注意加强责任制，要允许一部分地区、一部分企业、一部分工人农民收入先多一些，生活先好起来。这一讲话（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有利于生产关系的调整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表明经济责任制成为共识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得益于经济特区的实践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反映改革开放的正式启动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eastAsia="宋体" w:hAnsi="宋体" w:cs="宋体"/>
          <w:color w:val="000000"/>
        </w:rPr>
        <w:t>据统计，目前已发现的苏美尔时期的泥板中，至少有五千块属于文学作品，内容包括神话、史诗、故事、格言等。苏美尔城邦中还有一个相当活跃的知识阶层，他们有专门的学校，叫做“泥板书屋”。这反映了（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社会生产力的发展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人文艺术的包容性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文明间的交流密切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区域文明的多元性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eastAsia="宋体" w:hAnsi="宋体" w:cs="宋体"/>
          <w:color w:val="000000"/>
        </w:rPr>
        <w:t>根据下表可以推知，英法两国的举措（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tbl>
      <w:tblPr>
        <w:tblStyle w:val="TableNormal"/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3"/>
        <w:gridCol w:w="2002"/>
        <w:gridCol w:w="7145"/>
      </w:tblGrid>
      <w:tr>
        <w:tblPrEx>
          <w:tblW w:w="832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国家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国王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事件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75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英国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亨利二世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（1154—1189年在位）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推行司法改革，国王法庭开始在全国范围内比较有效的行使司法权。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75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法国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腓力四世</w:t>
            </w:r>
          </w:p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（1285—1314年在位）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向教会征税，囚禁教皇卜尼法斯八世，在此之后连续七任教皇都被迫驻扎在法国阿维农。</w:t>
            </w:r>
          </w:p>
        </w:tc>
      </w:tr>
    </w:tbl>
    <w:p>
      <w:pPr>
        <w:spacing w:line="360" w:lineRule="auto"/>
        <w:jc w:val="both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完善了西欧封君封臣制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有利于民族国家的形成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意在促进资本主义发展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打击了基督教会的势力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eastAsia="Times New Roman" w:hAnsi="Times New Roman" w:cs="Times New Roman"/>
          <w:color w:val="000000"/>
        </w:rPr>
        <w:t>1541</w:t>
      </w:r>
      <w:r>
        <w:rPr>
          <w:rFonts w:ascii="宋体" w:eastAsia="宋体" w:hAnsi="宋体" w:cs="宋体"/>
          <w:color w:val="000000"/>
        </w:rPr>
        <w:t>年，马丁·路德说：“以前有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eastAsia="宋体" w:hAnsi="宋体" w:cs="宋体"/>
          <w:color w:val="000000"/>
        </w:rPr>
        <w:t>盾就已敷用，现在有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宋体" w:eastAsia="宋体" w:hAnsi="宋体" w:cs="宋体"/>
          <w:color w:val="000000"/>
        </w:rPr>
        <w:t>盾也不敷用。为什么？以前一舍费尔谷物值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eastAsia="宋体" w:hAnsi="宋体" w:cs="宋体"/>
          <w:color w:val="000000"/>
        </w:rPr>
        <w:t>到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eastAsia="宋体" w:hAnsi="宋体" w:cs="宋体"/>
          <w:color w:val="000000"/>
        </w:rPr>
        <w:t>芬尼，而现在一舍费尔谷物就值</w:t>
      </w:r>
      <w:r>
        <w:rPr>
          <w:rFonts w:ascii="Times New Roman" w:eastAsia="Times New Roman" w:hAnsi="Times New Roman" w:cs="Times New Roman"/>
          <w:color w:val="000000"/>
        </w:rPr>
        <w:t>90</w:t>
      </w:r>
      <w:r>
        <w:rPr>
          <w:rFonts w:ascii="宋体" w:eastAsia="宋体" w:hAnsi="宋体" w:cs="宋体"/>
          <w:color w:val="000000"/>
        </w:rPr>
        <w:t>至</w:t>
      </w:r>
      <w:r>
        <w:rPr>
          <w:rFonts w:ascii="Times New Roman" w:eastAsia="Times New Roman" w:hAnsi="Times New Roman" w:cs="Times New Roman"/>
          <w:color w:val="000000"/>
        </w:rPr>
        <w:t>120</w:t>
      </w:r>
      <w:r>
        <w:rPr>
          <w:rFonts w:ascii="宋体" w:eastAsia="宋体" w:hAnsi="宋体" w:cs="宋体"/>
          <w:color w:val="000000"/>
        </w:rPr>
        <w:t>芬尼”。出现上述现象的主要原因是（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宗教改革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影响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农业技术的衰退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罗马教廷的盘剥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殖民扩张的推动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rFonts w:ascii="宋体" w:eastAsia="宋体" w:hAnsi="宋体" w:cs="宋体"/>
          <w:color w:val="000000"/>
        </w:rPr>
        <w:t>世纪末期，美国消费的中国布料多达三百万匹，“南京布”成为美国的专有名词。而到了</w:t>
      </w:r>
      <w:r>
        <w:rPr>
          <w:rFonts w:ascii="Times New Roman" w:eastAsia="Times New Roman" w:hAnsi="Times New Roman" w:cs="Times New Roman"/>
          <w:color w:val="000000"/>
        </w:rPr>
        <w:t>1820</w:t>
      </w:r>
      <w:r>
        <w:rPr>
          <w:rFonts w:ascii="宋体" w:eastAsia="宋体" w:hAnsi="宋体" w:cs="宋体"/>
          <w:color w:val="000000"/>
        </w:rPr>
        <w:t>年左右，美国消费的中国布料数量却逐渐减少。产生这一变化是由于美国（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海禁政策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阻碍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种族偏见的影响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生产方式的变革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国内战争的破坏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eastAsia="Times New Roman" w:hAnsi="Times New Roman" w:cs="Times New Roman"/>
          <w:color w:val="000000"/>
        </w:rPr>
        <w:t>1919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月，日本外务省向媒体发布《对美舆论引导纲要》，要求将山东问题报道焦点从“权益获取”转向“揭露西方伪善”，并将威尔逊的对日妥协定性为“盎格鲁一撒克逊种族对黄种人的集体背叛”。这一举措旨在（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争取亚洲国家的同情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支持日本的对外战略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打破日美的盟友关系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挑战美国的霸主地位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eastAsia="宋体" w:hAnsi="宋体" w:cs="宋体"/>
          <w:color w:val="000000"/>
        </w:rPr>
        <w:t>世纪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rFonts w:ascii="宋体" w:eastAsia="宋体" w:hAnsi="宋体" w:cs="宋体"/>
          <w:color w:val="000000"/>
        </w:rPr>
        <w:t>年代，美国政府推出了针对亚非拉新兴国家的“青年领袖项目”，邀请这些地区的青年访美、留学，亲身体验美国社会，加强与“自由世界”的合作。这一项目（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凸显了美国政府的冷战思维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强化了青年群体的国家认同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旨在展示美国的国际影响力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鼓励了第三世界的独立运动</w:t>
      </w:r>
    </w:p>
    <w:p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II</w:t>
      </w:r>
      <w:r>
        <w:rPr>
          <w:rFonts w:ascii="宋体" w:eastAsia="宋体" w:hAnsi="宋体" w:cs="宋体"/>
          <w:b/>
          <w:color w:val="000000"/>
          <w:sz w:val="24"/>
        </w:rPr>
        <w:t>卷（非选择题）</w:t>
      </w:r>
    </w:p>
    <w:p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二、非选择题：共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52</w:t>
      </w:r>
      <w:r>
        <w:rPr>
          <w:rFonts w:ascii="宋体" w:eastAsia="宋体" w:hAnsi="宋体" w:cs="宋体"/>
          <w:b/>
          <w:color w:val="000000"/>
          <w:sz w:val="24"/>
        </w:rPr>
        <w:t>分。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eastAsia="宋体" w:hAnsi="宋体" w:cs="宋体"/>
          <w:color w:val="000000"/>
        </w:rPr>
        <w:t>阅读材料，完成下列要求。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  嘉靖以降，江南州县为缓解赋役不均，已自发试行赋役货币化改革。至万历初，张居正以江南经验为蓝本，把一条鞭法推广到北方地区。具体做法是：赋役合并；以银缴纳；正杂统筹，将明初以来的各种杂税与正税合并；官收官解，废除了通过民间大户征解赋役的办法，改由地方官吏直接办理。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——摘编自刘德成《中国赋税史纲》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  一条鞭法在北方的推广面临诸多困难，当推行到山东时，更是引发了“齐鲁之民群起哗焉”的局面。下表是摘录的部分山东籍官民的议论：</w:t>
      </w:r>
    </w:p>
    <w:tbl>
      <w:tblPr>
        <w:tblStyle w:val="TableNormal"/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78"/>
        <w:gridCol w:w="8152"/>
      </w:tblGrid>
      <w:tr>
        <w:tblPrEx>
          <w:tblW w:w="832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山东籍礼部尚书、内阁大学士于慎行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所谓条鞭者，……邑民皆称其便。而他邑则有谓不便者，此有故焉……天下有治人无治法，敝邑所以至今称便者，以十余年来长吏皆得其人，能润色而损益之也。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山东籍户科都给事中光懋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（一条鞭法）不分人户贫富，一例摊派；不论仓口轻重，一并夥（伙）收。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山东章丘县士民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本县未行条鞭之先，乡官、举监生员，各照例优免税粮、丁银之外，一应杂办差银，毫不与及，……行条鞭之后，……而犹以其（民户）所减派之银数，加派于有地士夫之家，便于庶民而不便于士夫。</w:t>
            </w:r>
          </w:p>
        </w:tc>
      </w:tr>
    </w:tbl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——摘编自樊树志《明史讲稿》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根据材料一并结合所学知识，指出一条鞭法的积极作用。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根据材料一、二并结合所学知识，说明一条鞭法在山东推行受阻的原因。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eastAsia="宋体" w:hAnsi="宋体" w:cs="宋体"/>
          <w:color w:val="000000"/>
        </w:rPr>
        <w:t>阅读材料，完成下列要求。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  20世纪初，手工教育从日本传入我国。1904年，清政府颁布《奏定学堂章程》，“手工科”正式进入学校课程体系，标志着近代中国劳动教育的开始。民国初年，教育总长蔡元培将“实业教育”纳入正规教育体系，主张“以普通学术，悉寓于树艺、烹饪、裁缝及金、木、土、工之中”，并将其发展为必修科，以实现富国的目的。这对后世劳动教育产生了重要影响。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——摘编自邓金春《清末民国时期小学劳动课程发展史（1904—1949）》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  新中国成立初期，《人民日报》《光明日报》等主流报刊刊登了大量宣传劳动理论的文章，大、中、小学校通过寒、暑假政治学习等方式对师生进行集中的培训与思想改造。各级各类学校还采取了社会实践、劳动锻炼、生产实习等方法，使学生能够深入体会劳动人民的生活。党和国家还将徐建春、邢燕子等一批优秀劳动者树立为中、小学毕业生的榜样，以广播、报纸等媒体对其事迹进行广泛宣传，取得了较好成效。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——摘编自李欢《新中国成立初期学校劳动教育的历程回溯、主要特征及现实启示》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根据材料一并结合所学知识，分析清末民初开展劳动教育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背景。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根据材料二并结合所学知识，概括新中国初期开展学校劳动教育的特点。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eastAsia="宋体" w:hAnsi="宋体" w:cs="宋体"/>
          <w:color w:val="000000"/>
        </w:rPr>
        <w:t>阅读材料，完成下列要求。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  在早期德国，民众认为律师职业是卑贱的。在德意志封建专制主义影响下，作为“私人营利”的职业律师被当局视为“司法的瘟疫”。在腓特烈一世时期，国家要求取得律师资格必须通过两次国家级考试，并且每年的新增律师人数，还要受名额的限制。1781年，腓特烈二世改革了司法制度，确定了“律师是独立的自由职业者”等一系列符合资本主义要求的基本原则。1878年，德国颁布第一部资产阶级律师法——《国家律师法》，对律师资格的取得、权利和义务以及职业纪律等进行了规范，保留了考试，但取消了律师录用及从业限制，德国律师职业迎来了自己的春天。</w:t>
      </w:r>
    </w:p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——摘编自朱文俊《德国律师制度的产生与发展》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根据材料，概括德国律师制度的变化。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根据材料并结合所学知识，分析德国《国家律师法》的影响。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eastAsia="宋体" w:hAnsi="宋体" w:cs="宋体"/>
          <w:color w:val="000000"/>
        </w:rPr>
        <w:t>阅读材料，完成下列要求。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  在古代，人们大多认为历史是循环的或衰退的。至近代，历史进步观出现，人们开始相信历史正朝着一个理想方向持续迈进，有学者对西方历史理论中历史进步观的演变历程进行了如下梳理：</w:t>
      </w:r>
    </w:p>
    <w:tbl>
      <w:tblPr>
        <w:tblStyle w:val="TableNormal"/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09"/>
        <w:gridCol w:w="8021"/>
      </w:tblGrid>
      <w:tr>
        <w:tblPrEx>
          <w:tblW w:w="832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时期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演变历程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14—17世纪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从循环论、衰退论向历史进步论转变。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18世纪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启蒙思想家接受历史进步的定义，并形成理论框架和哲学基础。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19世纪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社会达尔文主义将生物进化规律用于人类社会，认为消灭最落后的民族与个人将使人类在总体上取得进步。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20世纪前半叶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历史进步观遭到质疑，循环论复苏。</w:t>
            </w:r>
          </w:p>
        </w:tc>
      </w:tr>
      <w:tr>
        <w:tblPrEx>
          <w:tblW w:w="832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15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20世纪中期至70年代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新的历史进步观出现，同时，文化相对主义兴起，挑战进步史观的西方中心、单一标准。</w:t>
            </w:r>
          </w:p>
        </w:tc>
      </w:tr>
    </w:tbl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——摘编自李友东《近代西方历史理论中的“历史进步”观》</w:t>
      </w:r>
    </w:p>
    <w:sectPr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5256E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numbering" Target="numbering.xml"/><Relationship Id="rId12" Type="http://schemas.openxmlformats.org/officeDocument/2006/relationships/styles" Target="styles.xml"/><Relationship Id="rId2" Type="http://schemas.openxmlformats.org/officeDocument/2006/relationships/webSettings" Target="webSetting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Relationship Id="rId5" Type="http://schemas.openxmlformats.org/officeDocument/2006/relationships/image" Target="media/image1.png"/><Relationship Id="rId6" Type="http://schemas.openxmlformats.org/officeDocument/2006/relationships/image" Target="media/image2.wmf"/><Relationship Id="rId7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category/>
  <dc:description/>
  <cp:contentStatus/>
  <dc:identifier/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